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642E" w14:textId="582C27D5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12272D">
        <w:t>10</w:t>
      </w:r>
      <w:r w:rsidR="000A2646">
        <w:t>1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Pr="00BC249E">
        <w:rPr>
          <w:sz w:val="32"/>
          <w:szCs w:val="32"/>
        </w:rPr>
        <w:t>R2-</w:t>
      </w:r>
      <w:r w:rsidR="00413C6E" w:rsidRPr="00413C6E">
        <w:rPr>
          <w:sz w:val="32"/>
          <w:szCs w:val="32"/>
        </w:rPr>
        <w:t>1</w:t>
      </w:r>
      <w:r w:rsidR="000A2646">
        <w:rPr>
          <w:sz w:val="32"/>
          <w:szCs w:val="32"/>
        </w:rPr>
        <w:t>8</w:t>
      </w:r>
      <w:r w:rsidR="000D5A5D">
        <w:rPr>
          <w:sz w:val="32"/>
          <w:szCs w:val="32"/>
        </w:rPr>
        <w:t>03606</w:t>
      </w:r>
      <w:bookmarkStart w:id="0" w:name="_GoBack"/>
      <w:bookmarkEnd w:id="0"/>
    </w:p>
    <w:p w14:paraId="3F8F987A" w14:textId="6229F9AB" w:rsidR="00494404" w:rsidRDefault="000A2646" w:rsidP="00311702">
      <w:pPr>
        <w:pStyle w:val="3GPPHeader"/>
      </w:pPr>
      <w:r w:rsidRPr="007310BF">
        <w:t>Athens, Greece, 26 February-2 March 201</w:t>
      </w:r>
      <w:r>
        <w:t>8</w:t>
      </w:r>
      <w:r>
        <w:tab/>
        <w:t>Revision of R2-1713621</w:t>
      </w:r>
    </w:p>
    <w:p w14:paraId="0507AFA4" w14:textId="3894CD2A" w:rsidR="00E90E49" w:rsidRPr="002B3EDD" w:rsidRDefault="00E90E49" w:rsidP="00311702">
      <w:pPr>
        <w:pStyle w:val="3GPPHeader"/>
        <w:rPr>
          <w:sz w:val="22"/>
          <w:szCs w:val="22"/>
        </w:rPr>
      </w:pPr>
      <w:r w:rsidRPr="002B3EDD">
        <w:rPr>
          <w:sz w:val="22"/>
          <w:szCs w:val="22"/>
        </w:rPr>
        <w:t>Agenda Item:</w:t>
      </w:r>
      <w:r w:rsidRPr="002B3EDD">
        <w:rPr>
          <w:sz w:val="22"/>
          <w:szCs w:val="22"/>
        </w:rPr>
        <w:tab/>
      </w:r>
      <w:r w:rsidR="00216621" w:rsidRPr="002B3EDD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6C3985CE" w:rsidR="00E90E49" w:rsidRPr="00216621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B2B8E">
        <w:rPr>
          <w:sz w:val="22"/>
          <w:szCs w:val="22"/>
        </w:rPr>
        <w:t>RRC Suspended and CA establishment</w:t>
      </w:r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216621">
        <w:rPr>
          <w:sz w:val="22"/>
          <w:szCs w:val="22"/>
        </w:rPr>
        <w:t>Document for:</w:t>
      </w:r>
      <w:r w:rsidRPr="00216621">
        <w:rPr>
          <w:sz w:val="22"/>
          <w:szCs w:val="22"/>
        </w:rPr>
        <w:tab/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0AB7F0BB" w14:textId="772DFEC2" w:rsidR="00216621" w:rsidRPr="00A2052C" w:rsidRDefault="00216621" w:rsidP="00216621">
      <w:r>
        <w:t xml:space="preserve">In this document, we provide some further aspects </w:t>
      </w:r>
      <w:r w:rsidR="00FB3820">
        <w:t xml:space="preserve">on </w:t>
      </w:r>
      <w:r w:rsidR="008153B7">
        <w:t xml:space="preserve">CA establishment from </w:t>
      </w:r>
      <w:r w:rsidR="00FB3820">
        <w:t>RRC</w:t>
      </w:r>
      <w:r w:rsidR="008153B7" w:rsidRPr="008153B7">
        <w:t xml:space="preserve"> Suspended</w:t>
      </w:r>
      <w:r>
        <w:t>.</w:t>
      </w:r>
    </w:p>
    <w:p w14:paraId="6ADDA211" w14:textId="77777777" w:rsidR="00423072" w:rsidRDefault="00423072">
      <w:pPr>
        <w:overflowPunct/>
        <w:autoSpaceDE/>
        <w:autoSpaceDN/>
        <w:adjustRightInd/>
        <w:spacing w:after="0"/>
        <w:jc w:val="left"/>
        <w:textAlignment w:val="auto"/>
      </w:pPr>
      <w:bookmarkStart w:id="1" w:name="_Ref178064866"/>
    </w:p>
    <w:p w14:paraId="7B537DFE" w14:textId="77777777" w:rsidR="00423072" w:rsidRDefault="00423072" w:rsidP="00423072">
      <w:pPr>
        <w:pStyle w:val="Heading1"/>
      </w:pPr>
      <w:r w:rsidRPr="00CE0424">
        <w:t>Discussion</w:t>
      </w:r>
    </w:p>
    <w:p w14:paraId="47FF7EDC" w14:textId="77777777" w:rsidR="00FB2BCE" w:rsidRDefault="00FB2BCE" w:rsidP="00FB2BCE">
      <w:pPr>
        <w:jc w:val="left"/>
        <w:rPr>
          <w:lang w:val="en-US"/>
        </w:rPr>
      </w:pPr>
      <w:r>
        <w:t>I</w:t>
      </w:r>
      <w:r w:rsidR="00423072">
        <w:rPr>
          <w:lang w:val="en-US"/>
        </w:rPr>
        <w:t>n this work item</w:t>
      </w:r>
      <w:r>
        <w:rPr>
          <w:lang w:val="en-US"/>
        </w:rPr>
        <w:t>,</w:t>
      </w:r>
      <w:r w:rsidR="00423072">
        <w:rPr>
          <w:lang w:val="en-US"/>
        </w:rPr>
        <w:t xml:space="preserve"> companies have provided con</w:t>
      </w:r>
      <w:r>
        <w:rPr>
          <w:lang w:val="en-US"/>
        </w:rPr>
        <w:t>tributions in RAN2 arguing for two improvements</w:t>
      </w:r>
    </w:p>
    <w:p w14:paraId="3C7F58EF" w14:textId="4E672EE8" w:rsidR="00FB2BCE" w:rsidRPr="00FB2BCE" w:rsidRDefault="00423072" w:rsidP="00FB2BCE">
      <w:pPr>
        <w:pStyle w:val="ListParagraph"/>
        <w:numPr>
          <w:ilvl w:val="0"/>
          <w:numId w:val="42"/>
        </w:numPr>
        <w:jc w:val="left"/>
        <w:rPr>
          <w:lang w:val="en-US"/>
        </w:rPr>
      </w:pPr>
      <w:r w:rsidRPr="00FB2BCE">
        <w:rPr>
          <w:lang w:val="en-US"/>
        </w:rPr>
        <w:t xml:space="preserve">reduce the delay SCells </w:t>
      </w:r>
      <w:r w:rsidR="00FB2BCE" w:rsidRPr="00FB2BCE">
        <w:rPr>
          <w:lang w:val="en-US"/>
        </w:rPr>
        <w:t xml:space="preserve">establishment, and </w:t>
      </w:r>
    </w:p>
    <w:p w14:paraId="2434F5E1" w14:textId="7E1C43C9" w:rsidR="00423072" w:rsidRPr="00FB2BCE" w:rsidRDefault="00423072" w:rsidP="00FB2BCE">
      <w:pPr>
        <w:pStyle w:val="ListParagraph"/>
        <w:numPr>
          <w:ilvl w:val="0"/>
          <w:numId w:val="42"/>
        </w:numPr>
        <w:jc w:val="left"/>
        <w:rPr>
          <w:rFonts w:ascii="Calibri" w:hAnsi="Calibri"/>
          <w:lang w:val="en-US" w:eastAsia="en-GB"/>
        </w:rPr>
      </w:pPr>
      <w:r w:rsidRPr="00FB2BCE">
        <w:rPr>
          <w:lang w:val="en-US"/>
        </w:rPr>
        <w:t>reduce signalling overhead for</w:t>
      </w:r>
      <w:r w:rsidR="00FB2BCE">
        <w:rPr>
          <w:lang w:val="en-US"/>
        </w:rPr>
        <w:t xml:space="preserve"> configuring CA</w:t>
      </w:r>
      <w:r w:rsidRPr="00FB2BCE">
        <w:rPr>
          <w:lang w:val="en-US"/>
        </w:rPr>
        <w:t>.</w:t>
      </w:r>
    </w:p>
    <w:p w14:paraId="2F6ECB2F" w14:textId="7E6255B6" w:rsidR="00FB2BCE" w:rsidRDefault="00423072" w:rsidP="00FB2BCE">
      <w:pPr>
        <w:jc w:val="left"/>
        <w:rPr>
          <w:lang w:val="en-US"/>
        </w:rPr>
      </w:pPr>
      <w:r>
        <w:rPr>
          <w:lang w:val="en-US"/>
        </w:rPr>
        <w:t xml:space="preserve">To reduce the delay to </w:t>
      </w:r>
      <w:r w:rsidR="00FB2BCE">
        <w:rPr>
          <w:lang w:val="en-US"/>
        </w:rPr>
        <w:t xml:space="preserve">establish and activating </w:t>
      </w:r>
      <w:r>
        <w:rPr>
          <w:lang w:val="en-US"/>
        </w:rPr>
        <w:t>SCells, different schemes has been proposed</w:t>
      </w:r>
      <w:r w:rsidR="001C5719">
        <w:rPr>
          <w:lang w:val="en-US"/>
        </w:rPr>
        <w:t>:</w:t>
      </w:r>
    </w:p>
    <w:p w14:paraId="23153572" w14:textId="77777777" w:rsidR="00FB2BCE" w:rsidRDefault="00FB2BCE" w:rsidP="00043A7F">
      <w:pPr>
        <w:pStyle w:val="ListParagraph"/>
        <w:numPr>
          <w:ilvl w:val="0"/>
          <w:numId w:val="42"/>
        </w:numPr>
        <w:jc w:val="left"/>
        <w:rPr>
          <w:lang w:val="en-US"/>
        </w:rPr>
      </w:pPr>
      <w:r w:rsidRPr="00FB2BCE">
        <w:rPr>
          <w:lang w:val="en-US"/>
        </w:rPr>
        <w:t xml:space="preserve">UE to provide measurements “early” during connection establishment, </w:t>
      </w:r>
    </w:p>
    <w:p w14:paraId="2A821B70" w14:textId="1EEB8C99" w:rsidR="00FB2BCE" w:rsidRDefault="00FB2BCE" w:rsidP="00043A7F">
      <w:pPr>
        <w:pStyle w:val="ListParagraph"/>
        <w:numPr>
          <w:ilvl w:val="0"/>
          <w:numId w:val="42"/>
        </w:numPr>
        <w:jc w:val="left"/>
        <w:rPr>
          <w:lang w:val="en-US"/>
        </w:rPr>
      </w:pPr>
      <w:r>
        <w:rPr>
          <w:lang w:val="en-US"/>
        </w:rPr>
        <w:t xml:space="preserve">activating </w:t>
      </w:r>
      <w:r w:rsidR="00423072" w:rsidRPr="00FB2BCE">
        <w:rPr>
          <w:lang w:val="en-US"/>
        </w:rPr>
        <w:t xml:space="preserve">SCell </w:t>
      </w:r>
      <w:r>
        <w:rPr>
          <w:lang w:val="en-US"/>
        </w:rPr>
        <w:t xml:space="preserve">upon RRC </w:t>
      </w:r>
      <w:r w:rsidR="00423072" w:rsidRPr="00FB2BCE">
        <w:rPr>
          <w:lang w:val="en-US"/>
        </w:rPr>
        <w:t xml:space="preserve">configuration, </w:t>
      </w:r>
    </w:p>
    <w:p w14:paraId="34444DCF" w14:textId="755F800E" w:rsidR="00423072" w:rsidRPr="00FB2BCE" w:rsidRDefault="00423072" w:rsidP="00043A7F">
      <w:pPr>
        <w:pStyle w:val="ListParagraph"/>
        <w:numPr>
          <w:ilvl w:val="0"/>
          <w:numId w:val="42"/>
        </w:numPr>
        <w:jc w:val="left"/>
        <w:rPr>
          <w:lang w:val="en-US"/>
        </w:rPr>
      </w:pPr>
      <w:r w:rsidRPr="00FB2BCE">
        <w:rPr>
          <w:lang w:val="en-US"/>
        </w:rPr>
        <w:t xml:space="preserve">increased SPS/CQI reporting frequency during the activation procedure (i.e. during the 24/34 ms), introducing a new </w:t>
      </w:r>
      <w:r w:rsidR="00FB2BCE" w:rsidRPr="00FB2BCE">
        <w:rPr>
          <w:lang w:val="en-US"/>
        </w:rPr>
        <w:t xml:space="preserve">SCells </w:t>
      </w:r>
      <w:r w:rsidRPr="00FB2BCE">
        <w:rPr>
          <w:lang w:val="en-US"/>
        </w:rPr>
        <w:t xml:space="preserve">state for </w:t>
      </w:r>
      <w:r w:rsidR="00FB2BCE">
        <w:rPr>
          <w:lang w:val="en-US"/>
        </w:rPr>
        <w:t>being some</w:t>
      </w:r>
      <w:r w:rsidRPr="00FB2BCE">
        <w:rPr>
          <w:lang w:val="en-US"/>
        </w:rPr>
        <w:t xml:space="preserve"> </w:t>
      </w:r>
      <w:r w:rsidR="00FB2BCE">
        <w:rPr>
          <w:lang w:val="en-US"/>
        </w:rPr>
        <w:t>in</w:t>
      </w:r>
      <w:r w:rsidRPr="00FB2BCE">
        <w:rPr>
          <w:lang w:val="en-US"/>
        </w:rPr>
        <w:t>between activated and deactivated.</w:t>
      </w:r>
    </w:p>
    <w:p w14:paraId="22A93AA8" w14:textId="77777777" w:rsidR="00FB2BCE" w:rsidRDefault="00423072" w:rsidP="00FB2BCE">
      <w:pPr>
        <w:jc w:val="left"/>
        <w:rPr>
          <w:lang w:val="en-US"/>
        </w:rPr>
      </w:pPr>
      <w:r>
        <w:rPr>
          <w:lang w:val="en-US"/>
        </w:rPr>
        <w:t xml:space="preserve">To reduce the overhead, companies have in RAN2 said that SCell configurations may be quite large in terms of RRC signalling and hence different schemes was proposed where </w:t>
      </w:r>
      <w:r w:rsidR="00FB2BCE">
        <w:rPr>
          <w:lang w:val="en-US"/>
        </w:rPr>
        <w:t>e.g.</w:t>
      </w:r>
    </w:p>
    <w:p w14:paraId="05EBC776" w14:textId="77777777" w:rsidR="00FB2BCE" w:rsidRDefault="00423072" w:rsidP="00FB2BCE">
      <w:pPr>
        <w:pStyle w:val="ListParagraph"/>
        <w:numPr>
          <w:ilvl w:val="0"/>
          <w:numId w:val="42"/>
        </w:numPr>
        <w:jc w:val="left"/>
        <w:rPr>
          <w:lang w:val="en-US"/>
        </w:rPr>
      </w:pPr>
      <w:r w:rsidRPr="00FB2BCE">
        <w:rPr>
          <w:lang w:val="en-US"/>
        </w:rPr>
        <w:t xml:space="preserve">parts of an SCell configuraiton for one cell can be used for another cell, or </w:t>
      </w:r>
    </w:p>
    <w:p w14:paraId="7CCCBBE9" w14:textId="43BCA7E2" w:rsidR="00FB2BCE" w:rsidRDefault="00423072" w:rsidP="00FB2BCE">
      <w:pPr>
        <w:pStyle w:val="ListParagraph"/>
        <w:numPr>
          <w:ilvl w:val="0"/>
          <w:numId w:val="42"/>
        </w:numPr>
        <w:jc w:val="left"/>
        <w:rPr>
          <w:lang w:val="en-US"/>
        </w:rPr>
      </w:pPr>
      <w:r w:rsidRPr="00FB2BCE">
        <w:rPr>
          <w:lang w:val="en-US"/>
        </w:rPr>
        <w:t>multiple SCells can shar</w:t>
      </w:r>
      <w:r w:rsidR="0006732D">
        <w:rPr>
          <w:lang w:val="en-US"/>
        </w:rPr>
        <w:t>e a common part of a configurati</w:t>
      </w:r>
      <w:r w:rsidRPr="00FB2BCE">
        <w:rPr>
          <w:lang w:val="en-US"/>
        </w:rPr>
        <w:t xml:space="preserve">on. </w:t>
      </w:r>
    </w:p>
    <w:p w14:paraId="6329608E" w14:textId="6DCE1ED6" w:rsidR="00423072" w:rsidRPr="00FB2BCE" w:rsidRDefault="00423072" w:rsidP="00FB2BCE">
      <w:pPr>
        <w:jc w:val="left"/>
        <w:rPr>
          <w:lang w:val="en-US"/>
        </w:rPr>
      </w:pPr>
      <w:r w:rsidRPr="00FB2BCE">
        <w:rPr>
          <w:lang w:val="en-US"/>
        </w:rPr>
        <w:t xml:space="preserve">While this may be beneficial if one counts the number of bits needed to be sent to the UE we think it is </w:t>
      </w:r>
      <w:r w:rsidR="00FB2BCE">
        <w:rPr>
          <w:lang w:val="en-US"/>
        </w:rPr>
        <w:t xml:space="preserve">more </w:t>
      </w:r>
      <w:r w:rsidRPr="00FB2BCE">
        <w:rPr>
          <w:lang w:val="en-US"/>
        </w:rPr>
        <w:t xml:space="preserve">important that RAN2 considers which scenarios are </w:t>
      </w:r>
      <w:r w:rsidR="00FB2BCE">
        <w:rPr>
          <w:lang w:val="en-US"/>
        </w:rPr>
        <w:t>most essential</w:t>
      </w:r>
      <w:r w:rsidRPr="00FB2BCE">
        <w:rPr>
          <w:lang w:val="en-US"/>
        </w:rPr>
        <w:t xml:space="preserve"> when this WI is discussed.</w:t>
      </w:r>
    </w:p>
    <w:p w14:paraId="0F4C9E32" w14:textId="251422EF" w:rsidR="00423072" w:rsidRDefault="00423072" w:rsidP="00FB2BCE">
      <w:pPr>
        <w:jc w:val="left"/>
        <w:rPr>
          <w:lang w:val="en-US"/>
        </w:rPr>
      </w:pPr>
      <w:r>
        <w:rPr>
          <w:lang w:val="en-US"/>
        </w:rPr>
        <w:t xml:space="preserve">We believe that </w:t>
      </w:r>
      <w:r w:rsidR="006A7B26">
        <w:rPr>
          <w:lang w:val="en-US"/>
        </w:rPr>
        <w:t>a</w:t>
      </w:r>
      <w:r>
        <w:rPr>
          <w:lang w:val="en-US"/>
        </w:rPr>
        <w:t xml:space="preserve"> use case which deserves attention is a UE sta</w:t>
      </w:r>
      <w:r w:rsidR="00FB2BCE">
        <w:rPr>
          <w:lang w:val="en-US"/>
        </w:rPr>
        <w:t>ying at the same location for a longer period of time (</w:t>
      </w:r>
      <w:r>
        <w:rPr>
          <w:lang w:val="en-US"/>
        </w:rPr>
        <w:t>e.g a person in a café</w:t>
      </w:r>
      <w:r w:rsidR="0006732D">
        <w:rPr>
          <w:lang w:val="en-US"/>
        </w:rPr>
        <w:t>)</w:t>
      </w:r>
      <w:r>
        <w:rPr>
          <w:lang w:val="en-US"/>
        </w:rPr>
        <w:t xml:space="preserve">, </w:t>
      </w:r>
      <w:r w:rsidR="006A7B26">
        <w:rPr>
          <w:lang w:val="en-US"/>
        </w:rPr>
        <w:t>and</w:t>
      </w:r>
      <w:r>
        <w:rPr>
          <w:lang w:val="en-US"/>
        </w:rPr>
        <w:t xml:space="preserve"> is downloading/uploading data every now and then. This UE would be active and download/upload a burst of data and after that be inactive a certain period before downloading</w:t>
      </w:r>
      <w:r w:rsidR="006A7B26">
        <w:rPr>
          <w:lang w:val="en-US"/>
        </w:rPr>
        <w:t>/uploading</w:t>
      </w:r>
      <w:r>
        <w:rPr>
          <w:lang w:val="en-US"/>
        </w:rPr>
        <w:t xml:space="preserve"> the next burst of data.</w:t>
      </w:r>
    </w:p>
    <w:p w14:paraId="3CE38D2D" w14:textId="77777777" w:rsidR="006A7B26" w:rsidRDefault="00423072" w:rsidP="00FB2BCE">
      <w:pPr>
        <w:jc w:val="left"/>
        <w:rPr>
          <w:lang w:val="en-US"/>
        </w:rPr>
      </w:pPr>
      <w:r>
        <w:rPr>
          <w:lang w:val="en-US"/>
        </w:rPr>
        <w:t xml:space="preserve">For this use case, which we assume is a very common scenario, we think that the UE may toggle between RRC suspended and </w:t>
      </w:r>
      <w:r w:rsidR="006A7B26">
        <w:rPr>
          <w:lang w:val="en-US"/>
        </w:rPr>
        <w:t>RRC Connected. Suspend/Resume was introduced in Rel-13 particularly for reducing latency</w:t>
      </w:r>
      <w:r>
        <w:rPr>
          <w:lang w:val="en-US"/>
        </w:rPr>
        <w:t>.</w:t>
      </w:r>
    </w:p>
    <w:p w14:paraId="66362442" w14:textId="4C759BA5" w:rsidR="00423072" w:rsidRDefault="006A7B26" w:rsidP="00FB2BCE">
      <w:pPr>
        <w:jc w:val="left"/>
        <w:rPr>
          <w:lang w:val="en-US"/>
        </w:rPr>
      </w:pPr>
      <w:r>
        <w:rPr>
          <w:lang w:val="en-US"/>
        </w:rPr>
        <w:t>We think a</w:t>
      </w:r>
      <w:r w:rsidR="00423072">
        <w:rPr>
          <w:lang w:val="en-US"/>
        </w:rPr>
        <w:t xml:space="preserve"> straightforward approach would be that the eNB configures the same SCells for a UE when the UE is </w:t>
      </w:r>
      <w:r>
        <w:rPr>
          <w:lang w:val="en-US"/>
        </w:rPr>
        <w:t>re-entering RRC connected, as the UE was using</w:t>
      </w:r>
      <w:r w:rsidR="00423072">
        <w:rPr>
          <w:lang w:val="en-US"/>
        </w:rPr>
        <w:t xml:space="preserve"> before being suspended. </w:t>
      </w:r>
      <w:r>
        <w:rPr>
          <w:lang w:val="en-US"/>
        </w:rPr>
        <w:t>It would even not be needed that UE provides initial measurements on Scells. T</w:t>
      </w:r>
      <w:r w:rsidR="00423072">
        <w:rPr>
          <w:lang w:val="en-US"/>
        </w:rPr>
        <w:t xml:space="preserve">he eNB can </w:t>
      </w:r>
      <w:r>
        <w:rPr>
          <w:lang w:val="en-US"/>
        </w:rPr>
        <w:t xml:space="preserve">assume that the UE has not changed position, and “blindly” </w:t>
      </w:r>
      <w:r w:rsidR="00423072">
        <w:rPr>
          <w:lang w:val="en-US"/>
        </w:rPr>
        <w:t>configure the same SCells. If the UE has moved</w:t>
      </w:r>
      <w:r>
        <w:rPr>
          <w:lang w:val="en-US"/>
        </w:rPr>
        <w:t>,</w:t>
      </w:r>
      <w:r w:rsidR="00423072">
        <w:rPr>
          <w:lang w:val="en-US"/>
        </w:rPr>
        <w:t xml:space="preserve"> the </w:t>
      </w:r>
      <w:r>
        <w:rPr>
          <w:lang w:val="en-US"/>
        </w:rPr>
        <w:t xml:space="preserve">UE could of course have left the Scell coverage, but </w:t>
      </w:r>
      <w:r w:rsidR="00423072">
        <w:rPr>
          <w:lang w:val="en-US"/>
        </w:rPr>
        <w:t xml:space="preserve">the eNB would soon figure </w:t>
      </w:r>
      <w:r>
        <w:rPr>
          <w:lang w:val="en-US"/>
        </w:rPr>
        <w:t xml:space="preserve">this out and </w:t>
      </w:r>
      <w:r w:rsidR="00423072">
        <w:rPr>
          <w:lang w:val="en-US"/>
        </w:rPr>
        <w:t>request the UE to per</w:t>
      </w:r>
      <w:r>
        <w:rPr>
          <w:lang w:val="en-US"/>
        </w:rPr>
        <w:t xml:space="preserve">form measurements to find new SCells for the UE (if any). </w:t>
      </w:r>
      <w:r w:rsidR="0006732D">
        <w:rPr>
          <w:lang w:val="en-US"/>
        </w:rPr>
        <w:t>H</w:t>
      </w:r>
      <w:r w:rsidR="00423072">
        <w:rPr>
          <w:lang w:val="en-US"/>
        </w:rPr>
        <w:t>owever</w:t>
      </w:r>
      <w:r w:rsidR="0006732D">
        <w:rPr>
          <w:lang w:val="en-US"/>
        </w:rPr>
        <w:t>,</w:t>
      </w:r>
      <w:r w:rsidR="00423072">
        <w:rPr>
          <w:lang w:val="en-US"/>
        </w:rPr>
        <w:t xml:space="preserve"> as </w:t>
      </w:r>
      <w:r w:rsidR="0006732D">
        <w:rPr>
          <w:lang w:val="en-US"/>
        </w:rPr>
        <w:t>discussed</w:t>
      </w:r>
      <w:r w:rsidR="00423072">
        <w:rPr>
          <w:lang w:val="en-US"/>
        </w:rPr>
        <w:t xml:space="preserve"> above</w:t>
      </w:r>
      <w:r w:rsidR="0006732D">
        <w:rPr>
          <w:lang w:val="en-US"/>
        </w:rPr>
        <w:t>,</w:t>
      </w:r>
      <w:r w:rsidR="00423072">
        <w:rPr>
          <w:lang w:val="en-US"/>
        </w:rPr>
        <w:t xml:space="preserve"> in many of the cases </w:t>
      </w:r>
      <w:r w:rsidR="00585096">
        <w:rPr>
          <w:lang w:val="en-US"/>
        </w:rPr>
        <w:t>the UE will be in the same location</w:t>
      </w:r>
      <w:r w:rsidR="00423072">
        <w:rPr>
          <w:lang w:val="en-US"/>
        </w:rPr>
        <w:t xml:space="preserve"> as before.</w:t>
      </w:r>
    </w:p>
    <w:p w14:paraId="69679B84" w14:textId="3AC1C282" w:rsidR="00423072" w:rsidRDefault="00423072" w:rsidP="001A3C5B">
      <w:pPr>
        <w:pStyle w:val="Observation"/>
        <w:rPr>
          <w:lang w:val="en-US"/>
        </w:rPr>
      </w:pPr>
      <w:r>
        <w:rPr>
          <w:lang w:val="en-US"/>
        </w:rPr>
        <w:t xml:space="preserve">Using RRC suspend/resume will address the goals of this WI without </w:t>
      </w:r>
      <w:r w:rsidR="00CC17DB">
        <w:rPr>
          <w:lang w:val="en-US"/>
        </w:rPr>
        <w:t xml:space="preserve">large </w:t>
      </w:r>
      <w:r>
        <w:rPr>
          <w:lang w:val="en-US"/>
        </w:rPr>
        <w:t>specification impact.</w:t>
      </w:r>
    </w:p>
    <w:p w14:paraId="3573ADBC" w14:textId="5D99C570" w:rsidR="00423072" w:rsidRDefault="001A3C5B" w:rsidP="00FB2BCE">
      <w:pPr>
        <w:jc w:val="left"/>
        <w:rPr>
          <w:lang w:val="en-US"/>
        </w:rPr>
      </w:pPr>
      <w:r>
        <w:rPr>
          <w:lang w:val="en-US"/>
        </w:rPr>
        <w:t>According to TS36.331, w</w:t>
      </w:r>
      <w:r w:rsidR="00423072">
        <w:rPr>
          <w:lang w:val="en-US"/>
        </w:rPr>
        <w:t xml:space="preserve">hen the RRC connection is </w:t>
      </w:r>
      <w:r w:rsidR="00677939">
        <w:rPr>
          <w:lang w:val="en-US"/>
        </w:rPr>
        <w:t>resumed</w:t>
      </w:r>
      <w:r>
        <w:rPr>
          <w:lang w:val="en-US"/>
        </w:rPr>
        <w:t>,</w:t>
      </w:r>
      <w:r w:rsidR="00423072">
        <w:rPr>
          <w:lang w:val="en-US"/>
        </w:rPr>
        <w:t xml:space="preserve"> the UE releases SCells. </w:t>
      </w:r>
      <w:r>
        <w:rPr>
          <w:lang w:val="en-US"/>
        </w:rPr>
        <w:t>In Rel-13, t</w:t>
      </w:r>
      <w:r w:rsidR="00423072">
        <w:rPr>
          <w:lang w:val="en-US"/>
        </w:rPr>
        <w:t xml:space="preserve">here was no showstopper for keeping SCells but the approach of releasing the SCells was adopted partly due to lack </w:t>
      </w:r>
      <w:r w:rsidR="00423072">
        <w:rPr>
          <w:lang w:val="en-US"/>
        </w:rPr>
        <w:lastRenderedPageBreak/>
        <w:t xml:space="preserve">of time. </w:t>
      </w:r>
      <w:r>
        <w:rPr>
          <w:lang w:val="en-US"/>
        </w:rPr>
        <w:t>To add to the list of further</w:t>
      </w:r>
      <w:r w:rsidR="00423072">
        <w:rPr>
          <w:lang w:val="en-US"/>
        </w:rPr>
        <w:t xml:space="preserve"> improvements</w:t>
      </w:r>
      <w:r>
        <w:rPr>
          <w:lang w:val="en-US"/>
        </w:rPr>
        <w:t>,</w:t>
      </w:r>
      <w:r w:rsidR="00C84498">
        <w:rPr>
          <w:lang w:val="en-US"/>
        </w:rPr>
        <w:t xml:space="preserve"> RAN2 should</w:t>
      </w:r>
      <w:r w:rsidR="00423072">
        <w:rPr>
          <w:lang w:val="en-US"/>
        </w:rPr>
        <w:t xml:space="preserve"> consider changes which would make the UE keep the SCells </w:t>
      </w:r>
      <w:r w:rsidR="00273E1D">
        <w:rPr>
          <w:lang w:val="en-US"/>
        </w:rPr>
        <w:t>for suspend/resume</w:t>
      </w:r>
      <w:r w:rsidR="00423072">
        <w:rPr>
          <w:lang w:val="en-US"/>
        </w:rPr>
        <w:t>.</w:t>
      </w:r>
    </w:p>
    <w:p w14:paraId="4B90D7E4" w14:textId="4AA394D9" w:rsidR="00677939" w:rsidRDefault="00273E1D" w:rsidP="00FB2BCE">
      <w:pPr>
        <w:jc w:val="left"/>
        <w:rPr>
          <w:lang w:val="en-US"/>
        </w:rPr>
      </w:pPr>
      <w:r>
        <w:rPr>
          <w:lang w:val="en-US"/>
        </w:rPr>
        <w:t>It should be noted that</w:t>
      </w:r>
      <w:r w:rsidR="00677939">
        <w:rPr>
          <w:lang w:val="en-US"/>
        </w:rPr>
        <w:t xml:space="preserve"> </w:t>
      </w:r>
      <w:r>
        <w:rPr>
          <w:lang w:val="en-US"/>
        </w:rPr>
        <w:t xml:space="preserve">in addition to that it is not possible that the UE keeps the old SCells during suspend/resume, it is not even </w:t>
      </w:r>
      <w:r w:rsidR="00677939">
        <w:rPr>
          <w:lang w:val="en-US"/>
        </w:rPr>
        <w:t xml:space="preserve">possible to add SCells in the RRC-resume message. This means that the RRC connection first </w:t>
      </w:r>
      <w:r>
        <w:rPr>
          <w:lang w:val="en-US"/>
        </w:rPr>
        <w:t>would need</w:t>
      </w:r>
      <w:r w:rsidR="00677939">
        <w:rPr>
          <w:lang w:val="en-US"/>
        </w:rPr>
        <w:t xml:space="preserve"> to be resumed and </w:t>
      </w:r>
      <w:r>
        <w:rPr>
          <w:lang w:val="en-US"/>
        </w:rPr>
        <w:t xml:space="preserve">after that </w:t>
      </w:r>
      <w:r w:rsidR="00677939">
        <w:rPr>
          <w:lang w:val="en-US"/>
        </w:rPr>
        <w:t>anoth</w:t>
      </w:r>
      <w:r>
        <w:rPr>
          <w:lang w:val="en-US"/>
        </w:rPr>
        <w:t xml:space="preserve">er RRCConnectionReconfiguration-message </w:t>
      </w:r>
      <w:r w:rsidR="00677939">
        <w:rPr>
          <w:lang w:val="en-US"/>
        </w:rPr>
        <w:t xml:space="preserve">is </w:t>
      </w:r>
      <w:r>
        <w:rPr>
          <w:lang w:val="en-US"/>
        </w:rPr>
        <w:t xml:space="preserve">sent to </w:t>
      </w:r>
      <w:r w:rsidR="00677939">
        <w:rPr>
          <w:lang w:val="en-US"/>
        </w:rPr>
        <w:t>add SCells.</w:t>
      </w:r>
    </w:p>
    <w:p w14:paraId="7F83493D" w14:textId="1DDEE74E" w:rsidR="00423072" w:rsidRDefault="00C84498" w:rsidP="001A3C5B">
      <w:pPr>
        <w:pStyle w:val="Proposal"/>
        <w:rPr>
          <w:lang w:val="en-US"/>
        </w:rPr>
      </w:pPr>
      <w:bookmarkStart w:id="2" w:name="_Toc498633026"/>
      <w:r>
        <w:rPr>
          <w:lang w:val="en-US"/>
        </w:rPr>
        <w:t>Enhance</w:t>
      </w:r>
      <w:r w:rsidR="00423072">
        <w:rPr>
          <w:lang w:val="en-US"/>
        </w:rPr>
        <w:t xml:space="preserve"> RRC suspend/resume so that the UE keeps the SCells while being suspended.</w:t>
      </w:r>
      <w:bookmarkEnd w:id="2"/>
    </w:p>
    <w:p w14:paraId="39112046" w14:textId="048A3557" w:rsidR="00423072" w:rsidRDefault="00C84498" w:rsidP="00FB2BCE">
      <w:pPr>
        <w:jc w:val="left"/>
        <w:rPr>
          <w:lang w:val="en-US"/>
        </w:rPr>
      </w:pPr>
      <w:r>
        <w:rPr>
          <w:lang w:val="en-US"/>
        </w:rPr>
        <w:t xml:space="preserve">RAN2 should consider </w:t>
      </w:r>
      <w:r w:rsidR="00423072">
        <w:rPr>
          <w:lang w:val="en-US"/>
        </w:rPr>
        <w:t>whether the SCells</w:t>
      </w:r>
      <w:r>
        <w:rPr>
          <w:lang w:val="en-US"/>
        </w:rPr>
        <w:t>,</w:t>
      </w:r>
      <w:r w:rsidR="00423072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="00423072">
        <w:rPr>
          <w:lang w:val="en-US"/>
        </w:rPr>
        <w:t>the UE keeps while being suspended</w:t>
      </w:r>
      <w:r>
        <w:rPr>
          <w:lang w:val="en-US"/>
        </w:rPr>
        <w:t>,</w:t>
      </w:r>
      <w:r w:rsidR="00423072">
        <w:rPr>
          <w:lang w:val="en-US"/>
        </w:rPr>
        <w:t xml:space="preserve"> should be </w:t>
      </w:r>
      <w:r>
        <w:rPr>
          <w:lang w:val="en-US"/>
        </w:rPr>
        <w:t xml:space="preserve">directly </w:t>
      </w:r>
      <w:r w:rsidR="00677939">
        <w:rPr>
          <w:lang w:val="en-US"/>
        </w:rPr>
        <w:t xml:space="preserve">activated </w:t>
      </w:r>
      <w:r w:rsidR="00423072">
        <w:rPr>
          <w:lang w:val="en-US"/>
        </w:rPr>
        <w:t xml:space="preserve">when the RRC connection </w:t>
      </w:r>
      <w:r w:rsidR="00215836">
        <w:rPr>
          <w:lang w:val="en-US"/>
        </w:rPr>
        <w:t>is</w:t>
      </w:r>
      <w:r w:rsidR="00423072">
        <w:rPr>
          <w:lang w:val="en-US"/>
        </w:rPr>
        <w:t xml:space="preserve"> resumed. This we think is the same discussion as RAN2 has had for activating SCells at configuration and may further reduce the </w:t>
      </w:r>
      <w:r w:rsidR="00215836">
        <w:rPr>
          <w:lang w:val="en-US"/>
        </w:rPr>
        <w:t xml:space="preserve">CA establishment </w:t>
      </w:r>
      <w:r w:rsidR="00423072">
        <w:rPr>
          <w:lang w:val="en-US"/>
        </w:rPr>
        <w:t>delay by some</w:t>
      </w:r>
      <w:r>
        <w:rPr>
          <w:lang w:val="en-US"/>
        </w:rPr>
        <w:t xml:space="preserve"> 10-15 </w:t>
      </w:r>
      <w:r w:rsidR="00423072">
        <w:rPr>
          <w:lang w:val="en-US"/>
        </w:rPr>
        <w:t>ms.</w:t>
      </w:r>
    </w:p>
    <w:p w14:paraId="3B1B146C" w14:textId="3A530A5D" w:rsidR="00423072" w:rsidRDefault="00585096" w:rsidP="00215836">
      <w:pPr>
        <w:pStyle w:val="Proposal"/>
        <w:rPr>
          <w:lang w:val="en-US"/>
        </w:rPr>
      </w:pPr>
      <w:bookmarkStart w:id="3" w:name="_Toc498633028"/>
      <w:r>
        <w:rPr>
          <w:lang w:val="en-US"/>
        </w:rPr>
        <w:t>RAN2 to c</w:t>
      </w:r>
      <w:r w:rsidR="00423072">
        <w:rPr>
          <w:lang w:val="en-US"/>
        </w:rPr>
        <w:t xml:space="preserve">onsider to further optimize </w:t>
      </w:r>
      <w:r>
        <w:rPr>
          <w:lang w:val="en-US"/>
        </w:rPr>
        <w:t xml:space="preserve">CA establishment </w:t>
      </w:r>
      <w:r w:rsidR="00423072">
        <w:rPr>
          <w:lang w:val="en-US"/>
        </w:rPr>
        <w:t>by having SCells active upon resuming the RRC configuration</w:t>
      </w:r>
      <w:bookmarkEnd w:id="3"/>
      <w:r w:rsidR="00215836">
        <w:rPr>
          <w:lang w:val="en-US"/>
        </w:rPr>
        <w:t>.</w:t>
      </w:r>
    </w:p>
    <w:p w14:paraId="500275CD" w14:textId="6EE2D254" w:rsidR="005244C5" w:rsidRDefault="005244C5">
      <w:pPr>
        <w:overflowPunct/>
        <w:autoSpaceDE/>
        <w:autoSpaceDN/>
        <w:adjustRightInd/>
        <w:spacing w:after="0"/>
        <w:jc w:val="left"/>
        <w:textAlignment w:val="auto"/>
      </w:pPr>
    </w:p>
    <w:p w14:paraId="283D373D" w14:textId="77777777" w:rsidR="005244C5" w:rsidRPr="00CE0424" w:rsidRDefault="005244C5" w:rsidP="005244C5">
      <w:pPr>
        <w:pStyle w:val="Heading1"/>
      </w:pPr>
      <w:r w:rsidRPr="00CE0424">
        <w:t>Conclusion</w:t>
      </w:r>
    </w:p>
    <w:p w14:paraId="39D0ACBD" w14:textId="01464413" w:rsidR="00585096" w:rsidRPr="00A2052C" w:rsidRDefault="00585096" w:rsidP="00585096">
      <w:r>
        <w:t>In this document, we provide</w:t>
      </w:r>
      <w:r w:rsidR="00F15A19">
        <w:t>d</w:t>
      </w:r>
      <w:r>
        <w:t xml:space="preserve"> some further aspects on CA establishment from RRC</w:t>
      </w:r>
      <w:r w:rsidRPr="008153B7">
        <w:t xml:space="preserve"> Suspended</w:t>
      </w:r>
      <w:r>
        <w:t>.</w:t>
      </w:r>
    </w:p>
    <w:p w14:paraId="2BB4DC28" w14:textId="1DB5B735" w:rsidR="00585096" w:rsidRDefault="00585096" w:rsidP="00585096">
      <w:r>
        <w:t>We made the following observations:</w:t>
      </w:r>
    </w:p>
    <w:p w14:paraId="6457FF40" w14:textId="77777777" w:rsidR="00486653" w:rsidRPr="00486653" w:rsidRDefault="00486653" w:rsidP="00486653">
      <w:pPr>
        <w:pStyle w:val="Observation"/>
        <w:numPr>
          <w:ilvl w:val="0"/>
          <w:numId w:val="45"/>
        </w:numPr>
        <w:rPr>
          <w:lang w:val="en-US"/>
        </w:rPr>
      </w:pPr>
      <w:r w:rsidRPr="00486653">
        <w:rPr>
          <w:lang w:val="en-US"/>
        </w:rPr>
        <w:t>Using RRC suspend/resume will address the goals of this WI without large specification impact.</w:t>
      </w:r>
    </w:p>
    <w:p w14:paraId="5F4239F4" w14:textId="77777777" w:rsidR="00585096" w:rsidRPr="00585096" w:rsidRDefault="00585096" w:rsidP="00585096">
      <w:pPr>
        <w:rPr>
          <w:lang w:val="en-US"/>
        </w:rPr>
      </w:pPr>
    </w:p>
    <w:p w14:paraId="0EABC3E0" w14:textId="1835310B" w:rsidR="005244C5" w:rsidRDefault="005244C5" w:rsidP="00585096">
      <w:r>
        <w:t>We ask RAN2 to agree on the following:</w:t>
      </w:r>
    </w:p>
    <w:p w14:paraId="4F87AFD9" w14:textId="77777777" w:rsidR="00486653" w:rsidRPr="00486653" w:rsidRDefault="00486653" w:rsidP="00486653">
      <w:pPr>
        <w:pStyle w:val="Proposal"/>
        <w:numPr>
          <w:ilvl w:val="0"/>
          <w:numId w:val="44"/>
        </w:numPr>
        <w:rPr>
          <w:lang w:val="en-US"/>
        </w:rPr>
      </w:pPr>
      <w:r w:rsidRPr="00486653">
        <w:rPr>
          <w:lang w:val="en-US"/>
        </w:rPr>
        <w:t>Enhance RRC suspend/resume so that the UE keeps the SCells while being suspended.</w:t>
      </w:r>
    </w:p>
    <w:p w14:paraId="346CDF1B" w14:textId="77777777" w:rsidR="00A30F3C" w:rsidRPr="00A30F3C" w:rsidRDefault="00A30F3C" w:rsidP="00A30F3C">
      <w:pPr>
        <w:pStyle w:val="Proposal"/>
        <w:numPr>
          <w:ilvl w:val="0"/>
          <w:numId w:val="44"/>
        </w:numPr>
        <w:rPr>
          <w:lang w:val="en-US"/>
        </w:rPr>
      </w:pPr>
      <w:r w:rsidRPr="00A30F3C">
        <w:rPr>
          <w:lang w:val="en-US"/>
        </w:rPr>
        <w:t>RAN2 to consider to further optimize CA establishment by having SCells active upon resuming the RRC configuration.</w:t>
      </w:r>
    </w:p>
    <w:bookmarkEnd w:id="1"/>
    <w:p w14:paraId="53CDBFB6" w14:textId="4CA247E2" w:rsidR="00494404" w:rsidRDefault="00494404" w:rsidP="005D69DB">
      <w:pPr>
        <w:pStyle w:val="Proposal"/>
        <w:numPr>
          <w:ilvl w:val="0"/>
          <w:numId w:val="0"/>
        </w:numPr>
      </w:pPr>
    </w:p>
    <w:sectPr w:rsidR="0049440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1B231" w14:textId="77777777" w:rsidR="00F036A1" w:rsidRDefault="00F036A1">
      <w:r>
        <w:separator/>
      </w:r>
    </w:p>
  </w:endnote>
  <w:endnote w:type="continuationSeparator" w:id="0">
    <w:p w14:paraId="5455631F" w14:textId="77777777" w:rsidR="00F036A1" w:rsidRDefault="00F0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0CAF0B76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5A5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D5A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E6C48" w14:textId="77777777" w:rsidR="00F036A1" w:rsidRDefault="00F036A1">
      <w:r>
        <w:separator/>
      </w:r>
    </w:p>
  </w:footnote>
  <w:footnote w:type="continuationSeparator" w:id="0">
    <w:p w14:paraId="09A569C3" w14:textId="77777777" w:rsidR="00F036A1" w:rsidRDefault="00F03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5C0F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A425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E54A1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273AC6"/>
    <w:multiLevelType w:val="hybridMultilevel"/>
    <w:tmpl w:val="61F2FD28"/>
    <w:lvl w:ilvl="0" w:tplc="D384E7B4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hybridMultilevel"/>
    <w:tmpl w:val="E0E433E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C1011"/>
    <w:multiLevelType w:val="hybridMultilevel"/>
    <w:tmpl w:val="159ECB36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543A0"/>
    <w:multiLevelType w:val="hybridMultilevel"/>
    <w:tmpl w:val="C204AC2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28"/>
  </w:num>
  <w:num w:numId="8">
    <w:abstractNumId w:val="19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0"/>
  </w:num>
  <w:num w:numId="16">
    <w:abstractNumId w:val="9"/>
  </w:num>
  <w:num w:numId="17">
    <w:abstractNumId w:val="16"/>
  </w:num>
  <w:num w:numId="18">
    <w:abstractNumId w:val="8"/>
  </w:num>
  <w:num w:numId="19">
    <w:abstractNumId w:val="24"/>
  </w:num>
  <w:num w:numId="20">
    <w:abstractNumId w:val="12"/>
  </w:num>
  <w:num w:numId="21">
    <w:abstractNumId w:val="6"/>
  </w:num>
  <w:num w:numId="22">
    <w:abstractNumId w:val="11"/>
  </w:num>
  <w:num w:numId="23">
    <w:abstractNumId w:val="17"/>
  </w:num>
  <w:num w:numId="24">
    <w:abstractNumId w:val="7"/>
  </w:num>
  <w:num w:numId="25">
    <w:abstractNumId w:val="29"/>
  </w:num>
  <w:num w:numId="26">
    <w:abstractNumId w:val="13"/>
  </w:num>
  <w:num w:numId="27">
    <w:abstractNumId w:val="20"/>
  </w:num>
  <w:num w:numId="28">
    <w:abstractNumId w:val="26"/>
  </w:num>
  <w:num w:numId="29">
    <w:abstractNumId w:val="32"/>
  </w:num>
  <w:num w:numId="30">
    <w:abstractNumId w:val="3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31"/>
  </w:num>
  <w:num w:numId="36">
    <w:abstractNumId w:val="21"/>
    <w:lvlOverride w:ilvl="0">
      <w:startOverride w:val="1"/>
    </w:lvlOverride>
  </w:num>
  <w:num w:numId="37">
    <w:abstractNumId w:val="27"/>
    <w:lvlOverride w:ilvl="0">
      <w:startOverride w:val="1"/>
    </w:lvlOverride>
  </w:num>
  <w:num w:numId="38">
    <w:abstractNumId w:val="21"/>
  </w:num>
  <w:num w:numId="39">
    <w:abstractNumId w:val="27"/>
    <w:lvlOverride w:ilvl="0">
      <w:startOverride w:val="1"/>
    </w:lvlOverride>
  </w:num>
  <w:num w:numId="40">
    <w:abstractNumId w:val="21"/>
    <w:lvlOverride w:ilvl="0">
      <w:startOverride w:val="1"/>
    </w:lvlOverride>
  </w:num>
  <w:num w:numId="41">
    <w:abstractNumId w:val="27"/>
    <w:lvlOverride w:ilvl="0">
      <w:startOverride w:val="1"/>
    </w:lvlOverride>
  </w:num>
  <w:num w:numId="42">
    <w:abstractNumId w:val="15"/>
  </w:num>
  <w:num w:numId="43">
    <w:abstractNumId w:val="27"/>
    <w:lvlOverride w:ilvl="0">
      <w:startOverride w:val="1"/>
    </w:lvlOverride>
  </w:num>
  <w:num w:numId="44">
    <w:abstractNumId w:val="21"/>
    <w:lvlOverride w:ilvl="0">
      <w:startOverride w:val="1"/>
    </w:lvlOverride>
  </w:num>
  <w:num w:numId="45">
    <w:abstractNumId w:val="27"/>
    <w:lvlOverride w:ilvl="0">
      <w:startOverride w:val="1"/>
    </w:lvlOverride>
  </w:num>
  <w:num w:numId="46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3431"/>
    <w:rsid w:val="0002564D"/>
    <w:rsid w:val="00025ECA"/>
    <w:rsid w:val="00031324"/>
    <w:rsid w:val="000325B8"/>
    <w:rsid w:val="00034247"/>
    <w:rsid w:val="00034C15"/>
    <w:rsid w:val="00036BA1"/>
    <w:rsid w:val="000422E2"/>
    <w:rsid w:val="00042F22"/>
    <w:rsid w:val="000444EF"/>
    <w:rsid w:val="0005071B"/>
    <w:rsid w:val="00052A07"/>
    <w:rsid w:val="000534E3"/>
    <w:rsid w:val="00055AA3"/>
    <w:rsid w:val="0005606A"/>
    <w:rsid w:val="00057117"/>
    <w:rsid w:val="00061508"/>
    <w:rsid w:val="000616E7"/>
    <w:rsid w:val="0006487E"/>
    <w:rsid w:val="00065E1A"/>
    <w:rsid w:val="0006732D"/>
    <w:rsid w:val="00073176"/>
    <w:rsid w:val="00077E5F"/>
    <w:rsid w:val="0008036A"/>
    <w:rsid w:val="00081AE6"/>
    <w:rsid w:val="00083FB6"/>
    <w:rsid w:val="000855EB"/>
    <w:rsid w:val="00085B52"/>
    <w:rsid w:val="000866F2"/>
    <w:rsid w:val="0009009F"/>
    <w:rsid w:val="0009099A"/>
    <w:rsid w:val="00091557"/>
    <w:rsid w:val="000924C1"/>
    <w:rsid w:val="000924F0"/>
    <w:rsid w:val="00093474"/>
    <w:rsid w:val="0009510F"/>
    <w:rsid w:val="000A1B7B"/>
    <w:rsid w:val="000A2646"/>
    <w:rsid w:val="000A56F2"/>
    <w:rsid w:val="000B2719"/>
    <w:rsid w:val="000B3510"/>
    <w:rsid w:val="000B3A8F"/>
    <w:rsid w:val="000B4AB9"/>
    <w:rsid w:val="000B58C3"/>
    <w:rsid w:val="000B61E9"/>
    <w:rsid w:val="000C165A"/>
    <w:rsid w:val="000C2E19"/>
    <w:rsid w:val="000D0D07"/>
    <w:rsid w:val="000D2B13"/>
    <w:rsid w:val="000D4797"/>
    <w:rsid w:val="000D5A5D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72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6869"/>
    <w:rsid w:val="00197DF9"/>
    <w:rsid w:val="001A1987"/>
    <w:rsid w:val="001A2564"/>
    <w:rsid w:val="001A3C5B"/>
    <w:rsid w:val="001A6173"/>
    <w:rsid w:val="001A6CBA"/>
    <w:rsid w:val="001B0D97"/>
    <w:rsid w:val="001B5A5D"/>
    <w:rsid w:val="001B7334"/>
    <w:rsid w:val="001C0094"/>
    <w:rsid w:val="001C1683"/>
    <w:rsid w:val="001C1CE5"/>
    <w:rsid w:val="001C3D2A"/>
    <w:rsid w:val="001C5719"/>
    <w:rsid w:val="001D51BA"/>
    <w:rsid w:val="001D6342"/>
    <w:rsid w:val="001D6D53"/>
    <w:rsid w:val="001D71D6"/>
    <w:rsid w:val="001E58E2"/>
    <w:rsid w:val="001E7AED"/>
    <w:rsid w:val="001F3916"/>
    <w:rsid w:val="001F3BD0"/>
    <w:rsid w:val="001F3C9B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36"/>
    <w:rsid w:val="002158FA"/>
    <w:rsid w:val="00216621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E1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B9C"/>
    <w:rsid w:val="002B24D6"/>
    <w:rsid w:val="002B3EDD"/>
    <w:rsid w:val="002C41E6"/>
    <w:rsid w:val="002C4403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5EB"/>
    <w:rsid w:val="00310E8D"/>
    <w:rsid w:val="00311702"/>
    <w:rsid w:val="00311E82"/>
    <w:rsid w:val="00313FD6"/>
    <w:rsid w:val="003143BD"/>
    <w:rsid w:val="003151A7"/>
    <w:rsid w:val="003203ED"/>
    <w:rsid w:val="00322C9F"/>
    <w:rsid w:val="00324D23"/>
    <w:rsid w:val="0032522A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321"/>
    <w:rsid w:val="00377CE1"/>
    <w:rsid w:val="00385BF0"/>
    <w:rsid w:val="00391D31"/>
    <w:rsid w:val="003939FF"/>
    <w:rsid w:val="003A2223"/>
    <w:rsid w:val="003A2A0F"/>
    <w:rsid w:val="003A45A1"/>
    <w:rsid w:val="003A5B0A"/>
    <w:rsid w:val="003A6949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6B01"/>
    <w:rsid w:val="003C7664"/>
    <w:rsid w:val="003C7806"/>
    <w:rsid w:val="003D109F"/>
    <w:rsid w:val="003D2478"/>
    <w:rsid w:val="003D3C45"/>
    <w:rsid w:val="003D3D17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1A6"/>
    <w:rsid w:val="0040512B"/>
    <w:rsid w:val="00405CA5"/>
    <w:rsid w:val="00405E00"/>
    <w:rsid w:val="00407CD3"/>
    <w:rsid w:val="00410134"/>
    <w:rsid w:val="00410B72"/>
    <w:rsid w:val="00410F18"/>
    <w:rsid w:val="0041263E"/>
    <w:rsid w:val="00413AAC"/>
    <w:rsid w:val="00413C6E"/>
    <w:rsid w:val="00421105"/>
    <w:rsid w:val="00423072"/>
    <w:rsid w:val="004242F4"/>
    <w:rsid w:val="00427248"/>
    <w:rsid w:val="00437447"/>
    <w:rsid w:val="00441A92"/>
    <w:rsid w:val="00444F56"/>
    <w:rsid w:val="00446488"/>
    <w:rsid w:val="0045017B"/>
    <w:rsid w:val="004517AA"/>
    <w:rsid w:val="00452CAC"/>
    <w:rsid w:val="00457565"/>
    <w:rsid w:val="00457B71"/>
    <w:rsid w:val="004669E2"/>
    <w:rsid w:val="00467585"/>
    <w:rsid w:val="00470C31"/>
    <w:rsid w:val="004734D0"/>
    <w:rsid w:val="004749FF"/>
    <w:rsid w:val="0047556B"/>
    <w:rsid w:val="00477768"/>
    <w:rsid w:val="00480AE3"/>
    <w:rsid w:val="00486653"/>
    <w:rsid w:val="00492BC5"/>
    <w:rsid w:val="00494404"/>
    <w:rsid w:val="004964F1"/>
    <w:rsid w:val="00496BEF"/>
    <w:rsid w:val="004A16BC"/>
    <w:rsid w:val="004A2B94"/>
    <w:rsid w:val="004A73D8"/>
    <w:rsid w:val="004B7C0C"/>
    <w:rsid w:val="004C2DB9"/>
    <w:rsid w:val="004C3898"/>
    <w:rsid w:val="004C6F2D"/>
    <w:rsid w:val="004D2122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79F"/>
    <w:rsid w:val="005219CF"/>
    <w:rsid w:val="005244C5"/>
    <w:rsid w:val="00531C26"/>
    <w:rsid w:val="005348C7"/>
    <w:rsid w:val="00534B59"/>
    <w:rsid w:val="00536759"/>
    <w:rsid w:val="00537C62"/>
    <w:rsid w:val="00545F2B"/>
    <w:rsid w:val="00546970"/>
    <w:rsid w:val="00550E5D"/>
    <w:rsid w:val="00554E19"/>
    <w:rsid w:val="0056121F"/>
    <w:rsid w:val="00572505"/>
    <w:rsid w:val="00576BEB"/>
    <w:rsid w:val="00582809"/>
    <w:rsid w:val="00585096"/>
    <w:rsid w:val="0058798C"/>
    <w:rsid w:val="005900FA"/>
    <w:rsid w:val="005935A4"/>
    <w:rsid w:val="005948C2"/>
    <w:rsid w:val="00595DCA"/>
    <w:rsid w:val="0059779B"/>
    <w:rsid w:val="005A209A"/>
    <w:rsid w:val="005A250C"/>
    <w:rsid w:val="005A5D54"/>
    <w:rsid w:val="005A662D"/>
    <w:rsid w:val="005B35D7"/>
    <w:rsid w:val="005B392A"/>
    <w:rsid w:val="005B3AA3"/>
    <w:rsid w:val="005B3DE8"/>
    <w:rsid w:val="005B591A"/>
    <w:rsid w:val="005B6F83"/>
    <w:rsid w:val="005C74FB"/>
    <w:rsid w:val="005D1602"/>
    <w:rsid w:val="005D69DB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1E2"/>
    <w:rsid w:val="00656A92"/>
    <w:rsid w:val="00656DDE"/>
    <w:rsid w:val="00657276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62D8"/>
    <w:rsid w:val="006771F9"/>
    <w:rsid w:val="006776D7"/>
    <w:rsid w:val="00677939"/>
    <w:rsid w:val="00681003"/>
    <w:rsid w:val="006817C9"/>
    <w:rsid w:val="00682736"/>
    <w:rsid w:val="00683ECE"/>
    <w:rsid w:val="006923CF"/>
    <w:rsid w:val="00695FC2"/>
    <w:rsid w:val="00696949"/>
    <w:rsid w:val="00696B65"/>
    <w:rsid w:val="00697052"/>
    <w:rsid w:val="006A46FB"/>
    <w:rsid w:val="006A5E28"/>
    <w:rsid w:val="006A697B"/>
    <w:rsid w:val="006A7AFF"/>
    <w:rsid w:val="006A7B26"/>
    <w:rsid w:val="006B1816"/>
    <w:rsid w:val="006B2099"/>
    <w:rsid w:val="006B2B8E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E7DEA"/>
    <w:rsid w:val="006F1B70"/>
    <w:rsid w:val="006F341D"/>
    <w:rsid w:val="006F3CDE"/>
    <w:rsid w:val="006F58D4"/>
    <w:rsid w:val="006F7669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276A9"/>
    <w:rsid w:val="007348B1"/>
    <w:rsid w:val="007362A6"/>
    <w:rsid w:val="00736D7D"/>
    <w:rsid w:val="00740E58"/>
    <w:rsid w:val="007445A0"/>
    <w:rsid w:val="0074524B"/>
    <w:rsid w:val="00747D8B"/>
    <w:rsid w:val="00751228"/>
    <w:rsid w:val="0075131F"/>
    <w:rsid w:val="007571E1"/>
    <w:rsid w:val="007602D6"/>
    <w:rsid w:val="007604B2"/>
    <w:rsid w:val="00765281"/>
    <w:rsid w:val="00766BAD"/>
    <w:rsid w:val="007730BD"/>
    <w:rsid w:val="00773906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A2C"/>
    <w:rsid w:val="007A1CB3"/>
    <w:rsid w:val="007A306F"/>
    <w:rsid w:val="007A43A6"/>
    <w:rsid w:val="007A58A6"/>
    <w:rsid w:val="007B3692"/>
    <w:rsid w:val="007B3D2D"/>
    <w:rsid w:val="007B4A87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3B7"/>
    <w:rsid w:val="008158D6"/>
    <w:rsid w:val="00817196"/>
    <w:rsid w:val="008215BA"/>
    <w:rsid w:val="00822572"/>
    <w:rsid w:val="008235DB"/>
    <w:rsid w:val="00824AB4"/>
    <w:rsid w:val="00825C42"/>
    <w:rsid w:val="00825D25"/>
    <w:rsid w:val="00827D6F"/>
    <w:rsid w:val="008376AC"/>
    <w:rsid w:val="008444E8"/>
    <w:rsid w:val="00844E80"/>
    <w:rsid w:val="00846248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3D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4E5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8F61CA"/>
    <w:rsid w:val="008F6807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BE0"/>
    <w:rsid w:val="00971F08"/>
    <w:rsid w:val="0097603D"/>
    <w:rsid w:val="00976949"/>
    <w:rsid w:val="00980477"/>
    <w:rsid w:val="0098317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B65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76E6"/>
    <w:rsid w:val="009F08F3"/>
    <w:rsid w:val="009F344F"/>
    <w:rsid w:val="00A048A8"/>
    <w:rsid w:val="00A04F49"/>
    <w:rsid w:val="00A11DF0"/>
    <w:rsid w:val="00A13E54"/>
    <w:rsid w:val="00A17B6D"/>
    <w:rsid w:val="00A17F63"/>
    <w:rsid w:val="00A2052C"/>
    <w:rsid w:val="00A2193B"/>
    <w:rsid w:val="00A2351A"/>
    <w:rsid w:val="00A264A9"/>
    <w:rsid w:val="00A27785"/>
    <w:rsid w:val="00A30187"/>
    <w:rsid w:val="00A30F3C"/>
    <w:rsid w:val="00A3448A"/>
    <w:rsid w:val="00A36297"/>
    <w:rsid w:val="00A41E2B"/>
    <w:rsid w:val="00A44F5F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10E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4FA1"/>
    <w:rsid w:val="00AF1C5D"/>
    <w:rsid w:val="00AF42D7"/>
    <w:rsid w:val="00B006FE"/>
    <w:rsid w:val="00B007CB"/>
    <w:rsid w:val="00B00B27"/>
    <w:rsid w:val="00B0109E"/>
    <w:rsid w:val="00B0299E"/>
    <w:rsid w:val="00B02AA9"/>
    <w:rsid w:val="00B02FA3"/>
    <w:rsid w:val="00B05084"/>
    <w:rsid w:val="00B157F9"/>
    <w:rsid w:val="00B20256"/>
    <w:rsid w:val="00B20D09"/>
    <w:rsid w:val="00B26916"/>
    <w:rsid w:val="00B2763F"/>
    <w:rsid w:val="00B27AAC"/>
    <w:rsid w:val="00B30929"/>
    <w:rsid w:val="00B372AA"/>
    <w:rsid w:val="00B40445"/>
    <w:rsid w:val="00B41888"/>
    <w:rsid w:val="00B43300"/>
    <w:rsid w:val="00B43C5B"/>
    <w:rsid w:val="00B45A52"/>
    <w:rsid w:val="00B46175"/>
    <w:rsid w:val="00B528E2"/>
    <w:rsid w:val="00B54B85"/>
    <w:rsid w:val="00B57526"/>
    <w:rsid w:val="00B6188F"/>
    <w:rsid w:val="00B63A73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49E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F79"/>
    <w:rsid w:val="00C24345"/>
    <w:rsid w:val="00C279B5"/>
    <w:rsid w:val="00C27C45"/>
    <w:rsid w:val="00C33195"/>
    <w:rsid w:val="00C3719D"/>
    <w:rsid w:val="00C5016C"/>
    <w:rsid w:val="00C52C40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498"/>
    <w:rsid w:val="00C9027A"/>
    <w:rsid w:val="00C9068E"/>
    <w:rsid w:val="00C91C9E"/>
    <w:rsid w:val="00C93C4B"/>
    <w:rsid w:val="00C944AB"/>
    <w:rsid w:val="00C95B40"/>
    <w:rsid w:val="00CA1ED8"/>
    <w:rsid w:val="00CB1F63"/>
    <w:rsid w:val="00CB7170"/>
    <w:rsid w:val="00CC040E"/>
    <w:rsid w:val="00CC111F"/>
    <w:rsid w:val="00CC17DB"/>
    <w:rsid w:val="00CC2011"/>
    <w:rsid w:val="00CC358F"/>
    <w:rsid w:val="00CC3EA0"/>
    <w:rsid w:val="00CC7B45"/>
    <w:rsid w:val="00CD1188"/>
    <w:rsid w:val="00CD2ED1"/>
    <w:rsid w:val="00CD337B"/>
    <w:rsid w:val="00CE0424"/>
    <w:rsid w:val="00CE22FD"/>
    <w:rsid w:val="00CE7561"/>
    <w:rsid w:val="00CF067F"/>
    <w:rsid w:val="00CF1354"/>
    <w:rsid w:val="00CF3B1F"/>
    <w:rsid w:val="00CF3BF6"/>
    <w:rsid w:val="00CF4FCF"/>
    <w:rsid w:val="00CF625B"/>
    <w:rsid w:val="00CF687E"/>
    <w:rsid w:val="00D015C4"/>
    <w:rsid w:val="00D0349B"/>
    <w:rsid w:val="00D10249"/>
    <w:rsid w:val="00D115C3"/>
    <w:rsid w:val="00D11897"/>
    <w:rsid w:val="00D13135"/>
    <w:rsid w:val="00D13E4E"/>
    <w:rsid w:val="00D2270D"/>
    <w:rsid w:val="00D239A7"/>
    <w:rsid w:val="00D23F47"/>
    <w:rsid w:val="00D2591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45F3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4F82"/>
    <w:rsid w:val="00DC53EF"/>
    <w:rsid w:val="00DE5608"/>
    <w:rsid w:val="00DE5740"/>
    <w:rsid w:val="00DE58D0"/>
    <w:rsid w:val="00DE60F9"/>
    <w:rsid w:val="00DE654F"/>
    <w:rsid w:val="00DF0B6E"/>
    <w:rsid w:val="00DF15E0"/>
    <w:rsid w:val="00DF37A0"/>
    <w:rsid w:val="00E110E7"/>
    <w:rsid w:val="00E11B20"/>
    <w:rsid w:val="00E17FA2"/>
    <w:rsid w:val="00E22330"/>
    <w:rsid w:val="00E2320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9AD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6CF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36A1"/>
    <w:rsid w:val="00F036E2"/>
    <w:rsid w:val="00F0528D"/>
    <w:rsid w:val="00F06C67"/>
    <w:rsid w:val="00F06DFD"/>
    <w:rsid w:val="00F071D1"/>
    <w:rsid w:val="00F07533"/>
    <w:rsid w:val="00F10629"/>
    <w:rsid w:val="00F15A1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588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A17"/>
    <w:rsid w:val="00FB2BCE"/>
    <w:rsid w:val="00FB3820"/>
    <w:rsid w:val="00FB4C80"/>
    <w:rsid w:val="00FB5062"/>
    <w:rsid w:val="00FB659B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24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C249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C249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C249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C249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C249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C249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C249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C249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C249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C249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C249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C249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C249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C249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C249E"/>
    <w:pPr>
      <w:ind w:left="1418" w:hanging="1418"/>
    </w:pPr>
  </w:style>
  <w:style w:type="paragraph" w:styleId="TOC3">
    <w:name w:val="toc 3"/>
    <w:basedOn w:val="TOC2"/>
    <w:semiHidden/>
    <w:rsid w:val="00BC249E"/>
    <w:pPr>
      <w:ind w:left="1134" w:hanging="1134"/>
    </w:pPr>
  </w:style>
  <w:style w:type="paragraph" w:styleId="TOC2">
    <w:name w:val="toc 2"/>
    <w:basedOn w:val="TOC1"/>
    <w:semiHidden/>
    <w:rsid w:val="00BC249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C249E"/>
    <w:pPr>
      <w:ind w:left="284"/>
    </w:pPr>
  </w:style>
  <w:style w:type="paragraph" w:styleId="Index1">
    <w:name w:val="index 1"/>
    <w:basedOn w:val="Normal"/>
    <w:semiHidden/>
    <w:rsid w:val="00BC249E"/>
    <w:pPr>
      <w:keepLines/>
      <w:spacing w:after="0"/>
    </w:pPr>
  </w:style>
  <w:style w:type="paragraph" w:styleId="DocumentMap">
    <w:name w:val="Document Map"/>
    <w:basedOn w:val="Normal"/>
    <w:semiHidden/>
    <w:rsid w:val="00BC249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C249E"/>
    <w:pPr>
      <w:ind w:left="851"/>
    </w:pPr>
  </w:style>
  <w:style w:type="paragraph" w:styleId="ListNumber">
    <w:name w:val="List Number"/>
    <w:basedOn w:val="List"/>
    <w:rsid w:val="00BC249E"/>
  </w:style>
  <w:style w:type="paragraph" w:styleId="List">
    <w:name w:val="List"/>
    <w:basedOn w:val="Normal"/>
    <w:rsid w:val="00BC249E"/>
    <w:pPr>
      <w:ind w:left="568" w:hanging="284"/>
    </w:pPr>
  </w:style>
  <w:style w:type="paragraph" w:styleId="Header">
    <w:name w:val="header"/>
    <w:rsid w:val="00BC24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C249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C249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C249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C249E"/>
    <w:pPr>
      <w:ind w:left="1418" w:hanging="1418"/>
    </w:pPr>
  </w:style>
  <w:style w:type="paragraph" w:styleId="TOC6">
    <w:name w:val="toc 6"/>
    <w:basedOn w:val="TOC5"/>
    <w:next w:val="Normal"/>
    <w:semiHidden/>
    <w:rsid w:val="00BC249E"/>
    <w:pPr>
      <w:ind w:left="1985" w:hanging="1985"/>
    </w:pPr>
  </w:style>
  <w:style w:type="paragraph" w:styleId="TOC7">
    <w:name w:val="toc 7"/>
    <w:basedOn w:val="TOC6"/>
    <w:next w:val="Normal"/>
    <w:semiHidden/>
    <w:rsid w:val="00BC249E"/>
    <w:pPr>
      <w:ind w:left="2268" w:hanging="2268"/>
    </w:pPr>
  </w:style>
  <w:style w:type="paragraph" w:styleId="ListBullet2">
    <w:name w:val="List Bullet 2"/>
    <w:basedOn w:val="ListBullet"/>
    <w:rsid w:val="00BC249E"/>
    <w:pPr>
      <w:numPr>
        <w:numId w:val="6"/>
      </w:numPr>
    </w:pPr>
  </w:style>
  <w:style w:type="paragraph" w:styleId="ListBullet">
    <w:name w:val="List Bullet"/>
    <w:basedOn w:val="BodyText"/>
    <w:rsid w:val="00BC249E"/>
    <w:pPr>
      <w:numPr>
        <w:numId w:val="5"/>
      </w:numPr>
    </w:pPr>
  </w:style>
  <w:style w:type="paragraph" w:styleId="ListBullet3">
    <w:name w:val="List Bullet 3"/>
    <w:basedOn w:val="ListBullet2"/>
    <w:rsid w:val="00BC249E"/>
    <w:pPr>
      <w:numPr>
        <w:numId w:val="7"/>
      </w:numPr>
    </w:pPr>
  </w:style>
  <w:style w:type="paragraph" w:customStyle="1" w:styleId="EQ">
    <w:name w:val="EQ"/>
    <w:basedOn w:val="Normal"/>
    <w:next w:val="Normal"/>
    <w:rsid w:val="00BC249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C249E"/>
    <w:pPr>
      <w:ind w:left="851"/>
    </w:pPr>
  </w:style>
  <w:style w:type="paragraph" w:styleId="List3">
    <w:name w:val="List 3"/>
    <w:basedOn w:val="List2"/>
    <w:rsid w:val="00BC249E"/>
    <w:pPr>
      <w:ind w:left="1135"/>
    </w:pPr>
  </w:style>
  <w:style w:type="paragraph" w:styleId="List4">
    <w:name w:val="List 4"/>
    <w:basedOn w:val="List3"/>
    <w:rsid w:val="00BC249E"/>
    <w:pPr>
      <w:ind w:left="1418"/>
    </w:pPr>
  </w:style>
  <w:style w:type="paragraph" w:styleId="List5">
    <w:name w:val="List 5"/>
    <w:basedOn w:val="List4"/>
    <w:rsid w:val="00BC249E"/>
    <w:pPr>
      <w:ind w:left="1702"/>
    </w:pPr>
  </w:style>
  <w:style w:type="paragraph" w:customStyle="1" w:styleId="EditorsNote">
    <w:name w:val="Editor's Note"/>
    <w:basedOn w:val="Normal"/>
    <w:rsid w:val="00BC249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C249E"/>
    <w:pPr>
      <w:numPr>
        <w:numId w:val="8"/>
      </w:numPr>
    </w:pPr>
  </w:style>
  <w:style w:type="paragraph" w:styleId="ListBullet5">
    <w:name w:val="List Bullet 5"/>
    <w:basedOn w:val="ListBullet4"/>
    <w:rsid w:val="00BC249E"/>
    <w:pPr>
      <w:numPr>
        <w:numId w:val="4"/>
      </w:numPr>
    </w:pPr>
  </w:style>
  <w:style w:type="paragraph" w:styleId="Footer">
    <w:name w:val="footer"/>
    <w:basedOn w:val="Header"/>
    <w:semiHidden/>
    <w:rsid w:val="00BC249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C249E"/>
    <w:pPr>
      <w:numPr>
        <w:numId w:val="2"/>
      </w:numPr>
    </w:pPr>
  </w:style>
  <w:style w:type="paragraph" w:styleId="BalloonText">
    <w:name w:val="Balloon Text"/>
    <w:basedOn w:val="Normal"/>
    <w:semiHidden/>
    <w:rsid w:val="00BC249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C249E"/>
  </w:style>
  <w:style w:type="paragraph" w:styleId="BodyText">
    <w:name w:val="Body Text"/>
    <w:basedOn w:val="Normal"/>
    <w:link w:val="BodyTextChar"/>
    <w:rsid w:val="00BC249E"/>
  </w:style>
  <w:style w:type="character" w:styleId="Hyperlink">
    <w:name w:val="Hyperlink"/>
    <w:uiPriority w:val="99"/>
    <w:rsid w:val="00BC249E"/>
    <w:rPr>
      <w:color w:val="0000FF"/>
      <w:u w:val="single"/>
      <w:lang w:val="en-GB"/>
    </w:rPr>
  </w:style>
  <w:style w:type="character" w:styleId="FollowedHyperlink">
    <w:name w:val="FollowedHyperlink"/>
    <w:semiHidden/>
    <w:rsid w:val="00BC249E"/>
    <w:rPr>
      <w:color w:val="FF0000"/>
      <w:u w:val="single"/>
    </w:rPr>
  </w:style>
  <w:style w:type="character" w:styleId="CommentReference">
    <w:name w:val="annotation reference"/>
    <w:semiHidden/>
    <w:rsid w:val="00BC249E"/>
    <w:rPr>
      <w:sz w:val="16"/>
      <w:szCs w:val="16"/>
    </w:rPr>
  </w:style>
  <w:style w:type="paragraph" w:styleId="CommentText">
    <w:name w:val="annotation text"/>
    <w:basedOn w:val="Normal"/>
    <w:semiHidden/>
    <w:rsid w:val="00BC249E"/>
  </w:style>
  <w:style w:type="paragraph" w:styleId="CommentSubject">
    <w:name w:val="annotation subject"/>
    <w:basedOn w:val="CommentText"/>
    <w:next w:val="CommentText"/>
    <w:semiHidden/>
    <w:rsid w:val="00BC249E"/>
    <w:rPr>
      <w:b/>
      <w:bCs/>
    </w:rPr>
  </w:style>
  <w:style w:type="character" w:customStyle="1" w:styleId="Heading1Char">
    <w:name w:val="Heading 1 Char"/>
    <w:link w:val="Heading1"/>
    <w:rsid w:val="00BC249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BC249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C249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C249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C249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BC249E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C249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C249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C249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C249E"/>
    <w:pPr>
      <w:spacing w:after="0"/>
    </w:pPr>
  </w:style>
  <w:style w:type="paragraph" w:customStyle="1" w:styleId="TAL">
    <w:name w:val="TAL"/>
    <w:basedOn w:val="Normal"/>
    <w:rsid w:val="00BC249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C249E"/>
    <w:pPr>
      <w:jc w:val="center"/>
    </w:pPr>
  </w:style>
  <w:style w:type="paragraph" w:customStyle="1" w:styleId="TAH">
    <w:name w:val="TAH"/>
    <w:basedOn w:val="TAC"/>
    <w:rsid w:val="00BC249E"/>
    <w:rPr>
      <w:b/>
    </w:rPr>
  </w:style>
  <w:style w:type="paragraph" w:customStyle="1" w:styleId="TAN">
    <w:name w:val="TAN"/>
    <w:basedOn w:val="TAL"/>
    <w:rsid w:val="00BC249E"/>
    <w:pPr>
      <w:ind w:left="851" w:hanging="851"/>
    </w:pPr>
  </w:style>
  <w:style w:type="paragraph" w:customStyle="1" w:styleId="TAR">
    <w:name w:val="TAR"/>
    <w:basedOn w:val="TAL"/>
    <w:rsid w:val="00BC249E"/>
    <w:pPr>
      <w:jc w:val="right"/>
    </w:pPr>
  </w:style>
  <w:style w:type="paragraph" w:customStyle="1" w:styleId="TH">
    <w:name w:val="TH"/>
    <w:basedOn w:val="Normal"/>
    <w:rsid w:val="00BC249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C249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C249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C24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24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24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C24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C249E"/>
  </w:style>
  <w:style w:type="paragraph" w:customStyle="1" w:styleId="ZH">
    <w:name w:val="ZH"/>
    <w:rsid w:val="00BC24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C24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C249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C24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249E"/>
    <w:pPr>
      <w:framePr w:wrap="notBeside" w:y="16161"/>
    </w:pPr>
  </w:style>
  <w:style w:type="paragraph" w:customStyle="1" w:styleId="FP">
    <w:name w:val="FP"/>
    <w:basedOn w:val="Normal"/>
    <w:rsid w:val="00BC249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C249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C249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C249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C249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  <w:style w:type="paragraph" w:styleId="NormalWeb">
    <w:name w:val="Normal (Web)"/>
    <w:basedOn w:val="Normal"/>
    <w:rsid w:val="009E76E6"/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rsid w:val="008C34E5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NoteHeading">
    <w:name w:val="Note Heading"/>
    <w:basedOn w:val="Normal"/>
    <w:next w:val="Normal"/>
    <w:link w:val="NoteHeadingChar"/>
    <w:rsid w:val="00F15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15A1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5NUHHDQN7SK2-1476151046-17865</_dlc_DocId>
    <_dlc_DocIdUrl xmlns="f166a696-7b5b-4ccd-9f0c-ffde0cceec81">
      <Url>https://ericsson.sharepoint.com/sites/star/_layouts/15/DocIdRedir.aspx?ID=5NUHHDQN7SK2-1476151046-17865</Url>
      <Description>5NUHHDQN7SK2-1476151046-17865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1C06-DC77-4EEB-B36B-96183FB95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834CB1C3-5541-44BB-90B9-AA60A300706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F76653-DD81-40A5-B1F6-1E583DE7DB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6ADE6FA-7AEB-4F0C-87A8-EA6C89713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163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Ericsson</cp:lastModifiedBy>
  <cp:revision>44</cp:revision>
  <cp:lastPrinted>2008-01-31T16:09:00Z</cp:lastPrinted>
  <dcterms:created xsi:type="dcterms:W3CDTF">2018-02-12T14:30:00Z</dcterms:created>
  <dcterms:modified xsi:type="dcterms:W3CDTF">2018-02-16T02:23:00Z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b84371c8-d6dd-4a07-a294-f1862bac9584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